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5F43" w:rsidRDefault="00A25F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5F43" w:rsidRDefault="00A25F43">
      <w:pPr>
        <w:pStyle w:val="ConsPlusNormal"/>
        <w:jc w:val="both"/>
        <w:outlineLvl w:val="0"/>
      </w:pPr>
    </w:p>
    <w:p w:rsidR="00A25F43" w:rsidRDefault="00A25F43">
      <w:pPr>
        <w:pStyle w:val="ConsPlusNormal"/>
        <w:jc w:val="right"/>
      </w:pPr>
      <w:r>
        <w:t>Утвержден</w:t>
      </w:r>
    </w:p>
    <w:p w:rsidR="00A25F43" w:rsidRDefault="00A25F43">
      <w:pPr>
        <w:pStyle w:val="ConsPlusNormal"/>
        <w:jc w:val="right"/>
      </w:pPr>
      <w:r>
        <w:t>Президентом РФ</w:t>
      </w:r>
    </w:p>
    <w:p w:rsidR="00A25F43" w:rsidRDefault="00A25F43">
      <w:pPr>
        <w:pStyle w:val="ConsPlusNormal"/>
        <w:jc w:val="right"/>
      </w:pPr>
      <w:r>
        <w:t>30.10.2020 N Пр-1760</w:t>
      </w:r>
    </w:p>
    <w:p w:rsidR="00A25F43" w:rsidRDefault="00A25F43">
      <w:pPr>
        <w:pStyle w:val="ConsPlusNormal"/>
        <w:jc w:val="right"/>
      </w:pPr>
    </w:p>
    <w:p w:rsidR="00A25F43" w:rsidRDefault="00A25F43">
      <w:pPr>
        <w:pStyle w:val="ConsPlusTitle"/>
        <w:jc w:val="center"/>
      </w:pPr>
      <w:r>
        <w:t>ПЕРЕЧЕНЬ</w:t>
      </w:r>
    </w:p>
    <w:p w:rsidR="00A25F43" w:rsidRDefault="00A25F43">
      <w:pPr>
        <w:pStyle w:val="ConsPlusTitle"/>
        <w:jc w:val="center"/>
      </w:pPr>
      <w:r>
        <w:t>ПОРУЧЕНИЙ ПО ИТОГАМ ЗАСЕДАНИЯ СОВЕТА ПО РАЗВИТИЮ ФИЗИЧЕСКОЙ</w:t>
      </w:r>
    </w:p>
    <w:p w:rsidR="00A25F43" w:rsidRDefault="00A25F43">
      <w:pPr>
        <w:pStyle w:val="ConsPlusTitle"/>
        <w:jc w:val="center"/>
      </w:pPr>
      <w:r>
        <w:t>КУЛЬТУРЫ И СПОРТА</w:t>
      </w:r>
    </w:p>
    <w:p w:rsidR="00A25F43" w:rsidRDefault="00A25F43">
      <w:pPr>
        <w:pStyle w:val="ConsPlusNormal"/>
        <w:jc w:val="center"/>
      </w:pPr>
    </w:p>
    <w:p w:rsidR="00A25F43" w:rsidRDefault="00A25F43">
      <w:pPr>
        <w:pStyle w:val="ConsPlusNormal"/>
        <w:ind w:firstLine="540"/>
        <w:jc w:val="both"/>
      </w:pPr>
      <w:r>
        <w:t>Президент утвердил перечень поручений по итогам заседания Совета по развитию физической культуры и спорта, состоявшегося 6 октября 2020 года.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1. Правительству Российской Федерации разработать и внести в Государственную Думу Федерального Собрания Российской Федерации: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а) с учетом ранее данных поручений проект федерального закона, обеспечивающего гармонизацию законодательства о физической культуре и спорте и законодательства об образовании, предусмотрев в том числе включение в этот проект положений, касающихся: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отнесения организаций, реализующих программы спортивной подготовки, к организациям дополнительного образования спортивной направленности;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отнесения программ спортивной подготовки к дополнительным общеобразовательным программам в области физической культуры и спорта, а также гармонизации программ спортивной подготовки с основными общеобразовательными программами и дополнительными общеобразовательными программами;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наделения тренеров и лиц, проходящих спортивную подготовку в организациях, реализующих программы спортивной подготовки, правами и обязанностями соответственно педагогических работников и обучающихся;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предоставления профессиональным образовательным организациям и образовательным организациям высшего образования возможности реализовывать программы спортивной подготовки независимо от ведомственной принадлежности таких организаций, в том числе путем создания центров спортивной подготовки на базе государственных образовательных организаций;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совершенствования понятийного аппарата, используемого в законодательстве Российской Федерации, в том числе уточнения понятий "детско-юношеский спорт" и "спортивная подготовка" в связи с необходимостью учета всех несовершеннолетних граждан, занимающихся спортом;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установления возможности осуществления при участии органов исполнительной власти субъектов Российской Федерации в области физической культуры и спорта государственного контроля (надзора) в сфере образования в отношении организаций, реализующих программы спортивной подготовки.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Срок - 20 ноября 2020 г.;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б) проект федерального закона, предусматривающего увеличение не менее чем в два раза размера целевых отчислений от азартных игр, уплачиваемых организаторами азартных игр в букмекерских конторах, совершенствование порядка уплаты таких отчислений, порядка их направления на финансирование мероприятий по развитию спорта и порядка целевого использования таких отчислений, а также предусматривающего осуществление государственного контроля за уплатой таких отчислений и их целевым использованием.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lastRenderedPageBreak/>
        <w:t>Срок - 1 марта 2021 г.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 xml:space="preserve">Ответственный: </w:t>
      </w:r>
      <w:proofErr w:type="spellStart"/>
      <w:r>
        <w:t>Мишустин</w:t>
      </w:r>
      <w:proofErr w:type="spellEnd"/>
      <w:r>
        <w:t xml:space="preserve"> М.В.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а) доработать с учетом предложений Совета при Президенте Российской Федерации по развитию физической культуры и спорта и утвердить стратегию развития физической культуры и спорта в Российской Федерации на период до 2030 года и план мероприятий по ее реализации, предусмотрев в том числе: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 xml:space="preserve">взаимосвязь целей, задач и приоритетных направлений названной стратегии с национальными </w:t>
      </w:r>
      <w:hyperlink r:id="rId5" w:history="1">
        <w:r>
          <w:rPr>
            <w:color w:val="0000FF"/>
          </w:rPr>
          <w:t>целями</w:t>
        </w:r>
      </w:hyperlink>
      <w:r>
        <w:t xml:space="preserve"> развития Российской Федерации на период до 2030 года;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формирование условий для интенсивного развития массового спорта, в том числе для совместных занятий всех членов семьи спортом, в целях повышения двигательной активности населения;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 xml:space="preserve">повышение заинтересованности различных групп населения в выполнении нормативов испытаний (тестов) Всероссийского физкультурно-спортивного комплекса "Готов к труду и обороне" (ГТО), стимулирование граждан к выполнению таких нормативов, совершенствование государственных требований указанного </w:t>
      </w:r>
      <w:hyperlink r:id="rId6" w:history="1">
        <w:r>
          <w:rPr>
            <w:color w:val="0000FF"/>
          </w:rPr>
          <w:t>комплекса</w:t>
        </w:r>
      </w:hyperlink>
      <w:r>
        <w:t>, порядка организации и проведения тестирования по выполнению таких нормативов, а также порядка организации и проведения физкультурных и спортивных мероприятий, направленных на реализацию указанного комплекса;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создание объектов спортивной инфраструктуры (преимущественно малобюджетных и плоскостных спортивных сооружений) по месту учебы, месту работы, месту жительства и месту отдыха граждан в соответствии с нормативами и нормами обеспеченности населения такими объектами и достижение достаточного уровня развития спортивной инфраструктуры (в том числе в сельской местности);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приведение в нормативное состояние имеющихся объектов спортивной инфраструктуры и обеспечение их эффективного использования (в том числе в сельской местности);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создание условий, необходимых для занятий инвалидов (включая детей-инвалидов) и лиц с ограниченными возможностями здоровья физической культурой и спортом, а также для подготовки спортивных сборных команд Российской Федерации по паралимпийским видам спорта;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разработку концепции развития детско-юношеского спорта в Российской Федерации, ориентированной на достижение национальных целей развития Российской Федерации на период до 2030 года;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увеличение количества центров раннего физического развития детей (начиная с двухлетнего возраста), в том числе в дошкольных образовательных организациях;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создание необходимых условий для повышения качества работы тренеров, тренеров-преподавателей и иных специалистов в области физической культуры и спорта;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 xml:space="preserve">создание на базе одного из действующих методических центров единого всероссийского межведомственного научно-методического центра детско-юношеского спорта в целях эффективного межведомственного и межуровневого взаимодействия. Определить </w:t>
      </w:r>
      <w:proofErr w:type="spellStart"/>
      <w:r>
        <w:t>Минпросвещения</w:t>
      </w:r>
      <w:proofErr w:type="spellEnd"/>
      <w:r>
        <w:t xml:space="preserve"> России, Минобрнауки России и Минспорт России учредителями такого научно-методического центра;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функционирование в системе дополнительного образования организаций различной ведомственной подчиненности, реализующих программы спортивной подготовки;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lastRenderedPageBreak/>
        <w:t>завершение создания к 30 октября 2021 г. единой автоматизированной информационной системы, содержащей достоверные сведения, необходимые для учета лиц, регулярно занимающихся физической культурой и спортом (включая сведения обо всех объектах спорта, расположенных на территории Российской Федерации, о проводимых физкультурных и спортивных мероприятиях, присвоении спортивных разрядов и спортивных званий, об организациях, осуществляющих деятельность в области физической культуры и спорта, в том числе образовательных и медицинских организациях), а также информационные и программно-методические материалы по вопросам физической культуры, спорта и спортивной медицины;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обеспечение непрерывного тренировочного процесса спортивных сборных команд Российской Федерации и спортивных сборных команд субъектов Российской Федерации, в том числе в условиях санитарно-эпидемиологических ограничений;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принятие мер, направленных на обеспечение достижения российскими спортсменами лидирующих позиций на международной спортивной арене, а также вхождения олимпийской команды России в тройку сильнейших в неофициальном командном зачете по итогам выступлений на Олимпийских играх;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разработку комплекса мер, направленных на увеличение числа представителей Российской Федерации в составе руководящих органов международных спортивных организаций, подготовку и профессиональную переподготовку таких представителей;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принятие мер, направленных на поддержку спортивных федераций и иных некоммерческих организаций, осуществляющих деятельность в области физической культуры и спорта;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установление целевого показателя, характеризующего минимальную долю расходов (в общем объеме расходов бюджетов субъектов Российской Федерации) по разделу "Физическая культура и спорт", и ежегодное, до 2030 года, увеличение такого показателя;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повышение инвестиционной привлекательности массового спорта;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создание коммерчески эффективной модели организации и развития профессионального спорта;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ресурсное обеспечение стратегии развития физической культуры и спорта в Российской Федерации на период до 2030 года и плана мероприятий по ее реализации.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Срок - 25 декабря 2020 г.;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 xml:space="preserve">б) принять исчерпывающие меры, направленные на внедрение начиная с 2021/22 учебного года федерального государственного образовательного </w:t>
      </w:r>
      <w:hyperlink r:id="rId7" w:history="1">
        <w:r>
          <w:rPr>
            <w:color w:val="0000FF"/>
          </w:rPr>
          <w:t>стандарта</w:t>
        </w:r>
      </w:hyperlink>
      <w:r>
        <w:t xml:space="preserve"> высшего образования - бакалавриат по направлению подготовки "Спорт" с присвоением квалификации "Тренер по виду спорта. Преподаватель".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Срок - 10 ноября 2020 г.;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в) обеспечить утверждение профессионального стандарта "Тренер-преподаватель".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Срок - 10 декабря 2020 г.;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г) включить должности тренеров и иных специалистов в области физической культуры и спорта в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Срок - 15 февраля 2021 г.;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 xml:space="preserve">д) принять дополнительные меры, направленные на развитие научно-технологической </w:t>
      </w:r>
      <w:r>
        <w:lastRenderedPageBreak/>
        <w:t>деятельности по направлению "спорт, инновационные спортивные технологии", осуществляемой на территории Инновационного научно-технологического центра МГУ "Воробьевы горы", предусмотрев привлечение к такой деятельности федерального государственного бюджетного учреждения "Российская академия наук", ФМБА России, ведущих научных, образовательных и спортивных организаций;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е) принять меры, направленные на создание в 2021 - 2024 годах клинической базы федерального государственного бюджетного учреждения "Федеральный научно-клинический центр спортивной медицины и реабилитации Федерального медико-биологического агентства" в целях оказания спортсменам спортивных сборных команд Российской Федерации всех видов медицинской помощи.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Срок - 30 июня 2021 г.;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ж) рассмотреть вопрос о проведении в Российской Федерации в ближайшей перспективе Года детско-юношеского спорта для создания дополнительных условий, способствующих достижению национальной цели развития Российской Федерации "Сохранение населения, здоровье и благополучие людей".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Доклад - до 10 ноября 2020 г.;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з) разработать при участии высших органов исполнительной власти субъектов Российской Федерации, Общественной палаты Российской Федерации, заинтересованных органов, организаций и представить для рассмотрения на заседании Совета при Президенте Российской Федерации по развитию физической культуры и спорта проект концепции развития детско-юношеского спорта в Российской Федерации.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Срок - 15 апреля 2021 г.;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 xml:space="preserve">и) рассмотреть вопрос о сохранении в рамках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физической культуры и спорта" финансового обеспечения организаций, осуществляющих спортивную подготовку, которая является учебно-тренировочным процессом.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Доклад - до 25 декабря 2020 г.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 xml:space="preserve">Ответственный: </w:t>
      </w:r>
      <w:proofErr w:type="spellStart"/>
      <w:r>
        <w:t>Мишустин</w:t>
      </w:r>
      <w:proofErr w:type="spellEnd"/>
      <w:r>
        <w:t xml:space="preserve"> М.В.;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к) разработать совместно с Правительством Свердловской области и утвердить план мероприятий по организации и проведению в 2021 году в г. Екатеринбурге Всемирного саммита спорта и бизнеса "</w:t>
      </w:r>
      <w:proofErr w:type="spellStart"/>
      <w:r>
        <w:t>СпортАккорд</w:t>
      </w:r>
      <w:proofErr w:type="spellEnd"/>
      <w:r>
        <w:t>", предусмотрев образование на федеральном уровне соответствующего организационного комитета;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л) подготовить совместно с Правительством Свердловской области и представить предложение об осуществлении в 2022 - 2023 годах закупок товаров, работ, услуг, связанных со строительством, вводом в эксплуатацию и оснащением объектов, необходимых для проведения XXXII Всемирной летней универсиады 2023 года в г. Екатеринбурге, с учетом частичного исполнения ранее определенным единственным исполнителем обязательств по государственным контрактам.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Срок - 30 ноября 2020 г.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 xml:space="preserve">Ответственные: </w:t>
      </w:r>
      <w:proofErr w:type="spellStart"/>
      <w:r>
        <w:t>Мишустин</w:t>
      </w:r>
      <w:proofErr w:type="spellEnd"/>
      <w:r>
        <w:t xml:space="preserve"> М.В., </w:t>
      </w:r>
      <w:proofErr w:type="spellStart"/>
      <w:r>
        <w:t>Куйвашев</w:t>
      </w:r>
      <w:proofErr w:type="spellEnd"/>
      <w:r>
        <w:t xml:space="preserve"> Е.В.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3. Администрации Президента Российской Федерации совместно с Правительством Российской Федерации обеспечить подготовку и проведение заседания Совета при Президенте Российской Федерации по развитию физической культуры и спорта на тему "О развитии детско-юношеского и студенческого спорта".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lastRenderedPageBreak/>
        <w:t>Срок - 30 июня 2021 г.</w:t>
      </w:r>
    </w:p>
    <w:p w:rsidR="00A25F43" w:rsidRDefault="00A25F43">
      <w:pPr>
        <w:pStyle w:val="ConsPlusNormal"/>
        <w:spacing w:before="220"/>
        <w:ind w:firstLine="540"/>
        <w:jc w:val="both"/>
      </w:pPr>
      <w:r>
        <w:t>Ответственные: Левитин И.Е., Чернышенко Д.Н.</w:t>
      </w:r>
    </w:p>
    <w:p w:rsidR="00A25F43" w:rsidRDefault="00A25F43">
      <w:pPr>
        <w:pStyle w:val="ConsPlusNormal"/>
        <w:jc w:val="both"/>
      </w:pPr>
    </w:p>
    <w:p w:rsidR="00A25F43" w:rsidRDefault="00A25F43">
      <w:pPr>
        <w:pStyle w:val="ConsPlusNormal"/>
        <w:jc w:val="both"/>
      </w:pPr>
    </w:p>
    <w:p w:rsidR="00A25F43" w:rsidRDefault="00A25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82E" w:rsidRDefault="0081582E">
      <w:bookmarkStart w:id="0" w:name="_GoBack"/>
      <w:bookmarkEnd w:id="0"/>
    </w:p>
    <w:sectPr w:rsidR="0081582E" w:rsidSect="0006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43"/>
    <w:rsid w:val="0081582E"/>
    <w:rsid w:val="00A2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B9D32-C89D-401E-A318-6EA7613B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E1F1F161A9DDFFE3565F6925745779620B10AA549A2635278917A8E8A8923EAEF94A6A5F7C39373D89038B972CDCE260E6467575160BAX24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CE1F1F161A9DDFFE3565F692574577942CB10CA544A2635278917A8E8A8923EAEF94A6A5F7C79270D89038B972CDCE260E6467575160BAX24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E1F1F161A9DDFFE3565F6925745779629B10AA145A2635278917A8E8A8923EAEF94A6A5F7C39279D89038B972CDCE260E6467575160BAX24CH" TargetMode="External"/><Relationship Id="rId5" Type="http://schemas.openxmlformats.org/officeDocument/2006/relationships/hyperlink" Target="consultantplus://offline/ref=0BCE1F1F161A9DDFFE3565F692574577962DB406A747A2635278917A8E8A8923F8EFCCAAA5F3DD9278CDC669FFX246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1823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Гошко К.В.</dc:creator>
  <cp:keywords/>
  <dc:description/>
  <cp:lastModifiedBy>Гошко К.В.</cp:lastModifiedBy>
  <cp:revision>1</cp:revision>
  <dcterms:created xsi:type="dcterms:W3CDTF">2021-08-04T07:56:00Z</dcterms:created>
  <dcterms:modified xsi:type="dcterms:W3CDTF">2021-08-04T07:57:00Z</dcterms:modified>
</cp:coreProperties>
</file>